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D674" w14:textId="77777777" w:rsidR="007B7932" w:rsidRDefault="007710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Criswell: </w:t>
      </w:r>
      <w:proofErr w:type="gramStart"/>
      <w:r>
        <w:rPr>
          <w:b/>
          <w:sz w:val="28"/>
          <w:szCs w:val="28"/>
          <w:u w:val="single"/>
        </w:rPr>
        <w:t>ELA  and</w:t>
      </w:r>
      <w:proofErr w:type="gramEnd"/>
      <w:r>
        <w:rPr>
          <w:b/>
          <w:sz w:val="28"/>
          <w:szCs w:val="28"/>
          <w:u w:val="single"/>
        </w:rPr>
        <w:t xml:space="preserve"> Social Studies Online Learning Schedule for March 30-April 3</w:t>
      </w:r>
    </w:p>
    <w:p w14:paraId="1BFE1B66" w14:textId="77777777" w:rsidR="007B7932" w:rsidRDefault="007710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 xml:space="preserve">ELA and social </w:t>
      </w:r>
      <w:proofErr w:type="gramStart"/>
      <w:r>
        <w:rPr>
          <w:b/>
          <w:sz w:val="28"/>
          <w:szCs w:val="28"/>
        </w:rPr>
        <w:t>studies  expectations</w:t>
      </w:r>
      <w:proofErr w:type="gramEnd"/>
      <w:r>
        <w:rPr>
          <w:b/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</w:t>
      </w:r>
      <w:proofErr w:type="gramStart"/>
      <w:r>
        <w:rPr>
          <w:b/>
          <w:sz w:val="28"/>
          <w:szCs w:val="28"/>
        </w:rPr>
        <w:t>webpage  for</w:t>
      </w:r>
      <w:proofErr w:type="gramEnd"/>
      <w:r>
        <w:rPr>
          <w:b/>
          <w:sz w:val="28"/>
          <w:szCs w:val="28"/>
        </w:rPr>
        <w:t xml:space="preserve"> directions in other content areas. </w:t>
      </w:r>
    </w:p>
    <w:p w14:paraId="7E6DEA3F" w14:textId="77777777" w:rsidR="007B7932" w:rsidRDefault="007710DC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7B7932" w14:paraId="4C2233ED" w14:textId="77777777">
        <w:tc>
          <w:tcPr>
            <w:tcW w:w="1035" w:type="dxa"/>
          </w:tcPr>
          <w:p w14:paraId="59C07D0E" w14:textId="77777777" w:rsidR="007B7932" w:rsidRDefault="007B7932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488A59D4" w14:textId="77777777" w:rsidR="007B7932" w:rsidRDefault="007710DC">
            <w:pPr>
              <w:jc w:val="center"/>
              <w:rPr>
                <w:b/>
              </w:rPr>
            </w:pPr>
            <w:r>
              <w:rPr>
                <w:b/>
              </w:rPr>
              <w:t>Monday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709" w:type="dxa"/>
          </w:tcPr>
          <w:p w14:paraId="7EA4E863" w14:textId="77777777" w:rsidR="007B7932" w:rsidRDefault="007710DC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31st </w:t>
            </w:r>
          </w:p>
        </w:tc>
        <w:tc>
          <w:tcPr>
            <w:tcW w:w="2709" w:type="dxa"/>
          </w:tcPr>
          <w:p w14:paraId="17741E05" w14:textId="77777777" w:rsidR="007B7932" w:rsidRDefault="007710DC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1st </w:t>
            </w:r>
          </w:p>
        </w:tc>
        <w:tc>
          <w:tcPr>
            <w:tcW w:w="2709" w:type="dxa"/>
          </w:tcPr>
          <w:p w14:paraId="5CB069A0" w14:textId="77777777" w:rsidR="007B7932" w:rsidRDefault="007710DC">
            <w:pPr>
              <w:jc w:val="center"/>
              <w:rPr>
                <w:b/>
              </w:rPr>
            </w:pPr>
            <w:r>
              <w:rPr>
                <w:b/>
              </w:rPr>
              <w:t>Thursday 2nd</w:t>
            </w:r>
          </w:p>
        </w:tc>
        <w:tc>
          <w:tcPr>
            <w:tcW w:w="2709" w:type="dxa"/>
          </w:tcPr>
          <w:p w14:paraId="76D107B9" w14:textId="77777777" w:rsidR="007B7932" w:rsidRDefault="007710DC">
            <w:pPr>
              <w:jc w:val="center"/>
              <w:rPr>
                <w:b/>
              </w:rPr>
            </w:pPr>
            <w:r>
              <w:rPr>
                <w:b/>
              </w:rPr>
              <w:t>Friday 3rd</w:t>
            </w:r>
          </w:p>
        </w:tc>
      </w:tr>
      <w:tr w:rsidR="007B7932" w14:paraId="4A5E5C8F" w14:textId="77777777">
        <w:tc>
          <w:tcPr>
            <w:tcW w:w="1035" w:type="dxa"/>
          </w:tcPr>
          <w:p w14:paraId="572EDE58" w14:textId="77777777" w:rsidR="007B7932" w:rsidRDefault="007710DC">
            <w:r>
              <w:t>To-Do</w:t>
            </w:r>
          </w:p>
          <w:p w14:paraId="3C14A83E" w14:textId="77777777" w:rsidR="007B7932" w:rsidRDefault="007710DC">
            <w:r>
              <w:t>Items</w:t>
            </w:r>
          </w:p>
        </w:tc>
        <w:tc>
          <w:tcPr>
            <w:tcW w:w="2709" w:type="dxa"/>
          </w:tcPr>
          <w:p w14:paraId="7F8716EE" w14:textId="77777777" w:rsidR="007B7932" w:rsidRDefault="007710DC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7C87A271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7A6FBE29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Spelling City - assigned game</w:t>
            </w:r>
          </w:p>
          <w:p w14:paraId="2BDF2780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2 texts: “Thomas, the doctor’s son,” and “Mogg, the villein’s daughter.”</w:t>
            </w:r>
          </w:p>
          <w:p w14:paraId="2AFB360A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Use “Theme of Adversity” worksheet to record answers for BOTH TEXTS</w:t>
            </w:r>
          </w:p>
          <w:p w14:paraId="0254DDA0" w14:textId="77777777" w:rsidR="007B7932" w:rsidRDefault="007B7932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0CC6FB40" w14:textId="77777777" w:rsidR="007B7932" w:rsidRDefault="007710DC">
            <w:pPr>
              <w:numPr>
                <w:ilvl w:val="0"/>
                <w:numId w:val="1"/>
              </w:numPr>
              <w:spacing w:line="259" w:lineRule="auto"/>
            </w:pPr>
            <w:r>
              <w:t>Fluency- errors count</w:t>
            </w:r>
          </w:p>
          <w:p w14:paraId="48A17B9A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Boggle</w:t>
            </w:r>
          </w:p>
          <w:p w14:paraId="760F9A00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“Taggot, the blacksmith’s daughter”</w:t>
            </w:r>
          </w:p>
          <w:p w14:paraId="4F93E577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Figurative Language Graphic Organizer f</w:t>
            </w:r>
            <w:r>
              <w:t>or “Taggot”</w:t>
            </w:r>
          </w:p>
          <w:p w14:paraId="77D6DC9F" w14:textId="77777777" w:rsidR="007B7932" w:rsidRDefault="007710DC">
            <w:pPr>
              <w:spacing w:after="160" w:line="259" w:lineRule="auto"/>
              <w:ind w:left="360"/>
            </w:pPr>
            <w:r>
              <w:rPr>
                <w:b/>
              </w:rPr>
              <w:t>This is an assessment.</w:t>
            </w:r>
          </w:p>
          <w:p w14:paraId="08DAAA2A" w14:textId="77777777" w:rsidR="007B7932" w:rsidRDefault="007B7932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47BEBE09" w14:textId="77777777" w:rsidR="007B7932" w:rsidRDefault="00771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Fluency - errors count</w:t>
            </w:r>
          </w:p>
          <w:p w14:paraId="7B8D429F" w14:textId="77777777" w:rsidR="007B7932" w:rsidRDefault="00771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Boggle</w:t>
            </w:r>
          </w:p>
          <w:p w14:paraId="7541C86B" w14:textId="77777777" w:rsidR="007B7932" w:rsidRDefault="00771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Read 5 texts: “Jacob Ben Salomon,” “Constance,” “Lowdy,” “Otho,” and Will”</w:t>
            </w:r>
          </w:p>
          <w:p w14:paraId="77B2980B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Use “Theme of Adversity” worksheet to record answers for All 5 TEXTS</w:t>
            </w:r>
          </w:p>
        </w:tc>
        <w:tc>
          <w:tcPr>
            <w:tcW w:w="2709" w:type="dxa"/>
          </w:tcPr>
          <w:p w14:paraId="197FE2D9" w14:textId="77777777" w:rsidR="007B7932" w:rsidRDefault="007710DC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</w:t>
            </w:r>
          </w:p>
          <w:p w14:paraId="5A2E5441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Boggle</w:t>
            </w:r>
          </w:p>
          <w:p w14:paraId="3E632F02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“Pask the runaway”</w:t>
            </w:r>
          </w:p>
          <w:p w14:paraId="7E0F410E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Complete Mid-Unit Assessment</w:t>
            </w:r>
          </w:p>
          <w:p w14:paraId="2A3FB46B" w14:textId="77777777" w:rsidR="007B7932" w:rsidRDefault="007710D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This is an assessment.</w:t>
            </w:r>
          </w:p>
          <w:p w14:paraId="68F929EF" w14:textId="77777777" w:rsidR="007B7932" w:rsidRDefault="007B7932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39CAB773" w14:textId="77777777" w:rsidR="007B7932" w:rsidRDefault="007710DC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 - then submit</w:t>
            </w:r>
          </w:p>
          <w:p w14:paraId="30EC99C2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7FD37F4A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Spelling City - </w:t>
            </w:r>
            <w:r>
              <w:rPr>
                <w:b/>
              </w:rPr>
              <w:t>jur, jus,</w:t>
            </w:r>
            <w:r>
              <w:rPr>
                <w:b/>
              </w:rPr>
              <w:t xml:space="preserve"> jud test</w:t>
            </w:r>
          </w:p>
          <w:p w14:paraId="6FC73596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</w:rPr>
              <w:t xml:space="preserve">Jur, jus, jud test </w:t>
            </w:r>
            <w:r>
              <w:t>on Google Classroom</w:t>
            </w:r>
          </w:p>
          <w:p w14:paraId="485FB780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Begin preparing for Final Literary Essay - look at prompt, model essay, and graphic organizers with answers </w:t>
            </w:r>
          </w:p>
          <w:p w14:paraId="1B0F74A8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“Simon”</w:t>
            </w:r>
          </w:p>
          <w:p w14:paraId="3AFB0BA0" w14:textId="77777777" w:rsidR="007B7932" w:rsidRDefault="007710DC">
            <w:pPr>
              <w:numPr>
                <w:ilvl w:val="0"/>
                <w:numId w:val="1"/>
              </w:numPr>
              <w:spacing w:after="160" w:line="259" w:lineRule="auto"/>
            </w:pPr>
            <w:r>
              <w:t>Use “Theme of Adversity” worksheet to record answers</w:t>
            </w:r>
          </w:p>
          <w:p w14:paraId="4BF9D49D" w14:textId="77777777" w:rsidR="007B7932" w:rsidRDefault="007710DC">
            <w:pPr>
              <w:spacing w:after="160" w:line="259" w:lineRule="auto"/>
              <w:rPr>
                <w:color w:val="CC0000"/>
              </w:rPr>
            </w:pPr>
            <w:r>
              <w:rPr>
                <w:color w:val="CC0000"/>
              </w:rPr>
              <w:t>10:30 LIVE on Google Meet for Boggle</w:t>
            </w:r>
          </w:p>
        </w:tc>
      </w:tr>
      <w:tr w:rsidR="007B7932" w14:paraId="1AEE3B00" w14:textId="77777777">
        <w:trPr>
          <w:trHeight w:val="1394"/>
        </w:trPr>
        <w:tc>
          <w:tcPr>
            <w:tcW w:w="1035" w:type="dxa"/>
          </w:tcPr>
          <w:p w14:paraId="2111A567" w14:textId="77777777" w:rsidR="007B7932" w:rsidRDefault="007710DC">
            <w:r>
              <w:lastRenderedPageBreak/>
              <w:t>Instructions</w:t>
            </w:r>
          </w:p>
        </w:tc>
        <w:tc>
          <w:tcPr>
            <w:tcW w:w="2709" w:type="dxa"/>
          </w:tcPr>
          <w:p w14:paraId="3D0336E3" w14:textId="77777777" w:rsidR="007B7932" w:rsidRDefault="007710DC">
            <w:pPr>
              <w:numPr>
                <w:ilvl w:val="0"/>
                <w:numId w:val="4"/>
              </w:numPr>
              <w:spacing w:line="259" w:lineRule="auto"/>
            </w:pPr>
            <w:r>
              <w:t>Spelling City - link on weebly</w:t>
            </w:r>
            <w:r>
              <w:t xml:space="preserve"> page.</w:t>
            </w:r>
          </w:p>
          <w:p w14:paraId="3F5D6D78" w14:textId="77777777" w:rsidR="007B7932" w:rsidRDefault="007B7932">
            <w:pPr>
              <w:spacing w:line="259" w:lineRule="auto"/>
              <w:ind w:left="360"/>
            </w:pPr>
          </w:p>
          <w:p w14:paraId="7E3D679C" w14:textId="77777777" w:rsidR="007B7932" w:rsidRDefault="007710DC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Find a theme/adversity for EACH text and record on the graphic organizer. Include text evidence and explain how this theme of adversity exists today.   </w:t>
            </w:r>
          </w:p>
        </w:tc>
        <w:tc>
          <w:tcPr>
            <w:tcW w:w="2709" w:type="dxa"/>
          </w:tcPr>
          <w:p w14:paraId="14BCD5C5" w14:textId="77777777" w:rsidR="007B7932" w:rsidRDefault="007710DC">
            <w:pPr>
              <w:numPr>
                <w:ilvl w:val="0"/>
                <w:numId w:val="4"/>
              </w:numPr>
              <w:spacing w:line="259" w:lineRule="auto"/>
            </w:pPr>
            <w:r>
              <w:t>Make sure to tell me what type of figurative language it is (1st column), what it means literal</w:t>
            </w:r>
            <w:r>
              <w:t xml:space="preserve">ly (2nd column), and then your inference as to how it adds to your understanding of character or scene. </w:t>
            </w:r>
          </w:p>
          <w:p w14:paraId="2B61910D" w14:textId="77777777" w:rsidR="007B7932" w:rsidRDefault="007B7932">
            <w:pPr>
              <w:spacing w:after="160" w:line="259" w:lineRule="auto"/>
            </w:pPr>
          </w:p>
        </w:tc>
        <w:tc>
          <w:tcPr>
            <w:tcW w:w="2709" w:type="dxa"/>
          </w:tcPr>
          <w:p w14:paraId="59067930" w14:textId="77777777" w:rsidR="007B7932" w:rsidRDefault="007710DC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Find a theme/adversity for EACH text and record on the graphic organizer. Include text evidence and explain how this theme of adversity exists today. </w:t>
            </w:r>
            <w:r>
              <w:t xml:space="preserve"> </w:t>
            </w:r>
          </w:p>
          <w:p w14:paraId="6863FBA1" w14:textId="77777777" w:rsidR="007B7932" w:rsidRDefault="007B7932"/>
        </w:tc>
        <w:tc>
          <w:tcPr>
            <w:tcW w:w="2709" w:type="dxa"/>
          </w:tcPr>
          <w:p w14:paraId="5EB93D7B" w14:textId="77777777" w:rsidR="007B7932" w:rsidRDefault="007710DC">
            <w:pPr>
              <w:numPr>
                <w:ilvl w:val="0"/>
                <w:numId w:val="4"/>
              </w:numPr>
              <w:spacing w:after="160" w:line="259" w:lineRule="auto"/>
            </w:pPr>
            <w:r>
              <w:t xml:space="preserve">This Mid- Unit Assessment should mirror what you have been working on - finding the theme and supporting it with text evidence, as well as interpreting figurative language. </w:t>
            </w:r>
          </w:p>
        </w:tc>
        <w:tc>
          <w:tcPr>
            <w:tcW w:w="2709" w:type="dxa"/>
          </w:tcPr>
          <w:p w14:paraId="03788A67" w14:textId="77777777" w:rsidR="007B7932" w:rsidRDefault="007710DC">
            <w:pPr>
              <w:numPr>
                <w:ilvl w:val="0"/>
                <w:numId w:val="2"/>
              </w:numPr>
            </w:pPr>
            <w:r>
              <w:t>Spelling City - link on weebly page</w:t>
            </w:r>
          </w:p>
          <w:p w14:paraId="4262486A" w14:textId="77777777" w:rsidR="007B7932" w:rsidRDefault="007710DC">
            <w:pPr>
              <w:numPr>
                <w:ilvl w:val="0"/>
                <w:numId w:val="2"/>
              </w:numPr>
            </w:pPr>
            <w:r>
              <w:t xml:space="preserve">Go to GClassroom and look for assignment post </w:t>
            </w:r>
            <w:r>
              <w:t>for jur, jus, jud test</w:t>
            </w:r>
          </w:p>
          <w:p w14:paraId="4F80F0C9" w14:textId="77777777" w:rsidR="007B7932" w:rsidRDefault="007710DC">
            <w:pPr>
              <w:numPr>
                <w:ilvl w:val="0"/>
                <w:numId w:val="2"/>
              </w:numPr>
            </w:pPr>
            <w:r>
              <w:t>Look over the essay prompt to see what you will be writing about, look at model essay to see how the writer set it up - yours should look like this when you write it in a few days, look at Forming Evidence Based Claims document to se</w:t>
            </w:r>
            <w:r>
              <w:t xml:space="preserve">e how it fits with model essay. </w:t>
            </w:r>
            <w:r>
              <w:rPr>
                <w:b/>
              </w:rPr>
              <w:t>In other words, you are thinking like a writer today.</w:t>
            </w:r>
          </w:p>
          <w:p w14:paraId="20A2268A" w14:textId="77777777" w:rsidR="007B7932" w:rsidRDefault="007B7932"/>
          <w:p w14:paraId="07AD359B" w14:textId="77777777" w:rsidR="007B7932" w:rsidRDefault="007710DC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Find a theme/adversity for the text and record on the graphic organizer. Include text evidence and explain how this </w:t>
            </w:r>
            <w:r>
              <w:lastRenderedPageBreak/>
              <w:t>theme of adversity exists today.</w:t>
            </w:r>
          </w:p>
        </w:tc>
      </w:tr>
      <w:tr w:rsidR="007B7932" w14:paraId="49D92BD8" w14:textId="77777777">
        <w:trPr>
          <w:trHeight w:val="782"/>
        </w:trPr>
        <w:tc>
          <w:tcPr>
            <w:tcW w:w="1035" w:type="dxa"/>
          </w:tcPr>
          <w:p w14:paraId="405A319D" w14:textId="77777777" w:rsidR="007B7932" w:rsidRDefault="007710DC">
            <w:r>
              <w:lastRenderedPageBreak/>
              <w:t>How to submit</w:t>
            </w:r>
          </w:p>
        </w:tc>
        <w:tc>
          <w:tcPr>
            <w:tcW w:w="2709" w:type="dxa"/>
          </w:tcPr>
          <w:p w14:paraId="5F2E19DE" w14:textId="77777777" w:rsidR="007B7932" w:rsidRDefault="007710DC">
            <w:r>
              <w:t xml:space="preserve">Turn </w:t>
            </w:r>
            <w:r>
              <w:t>in button in GClassroom</w:t>
            </w:r>
          </w:p>
        </w:tc>
        <w:tc>
          <w:tcPr>
            <w:tcW w:w="2709" w:type="dxa"/>
          </w:tcPr>
          <w:p w14:paraId="06A33E95" w14:textId="77777777" w:rsidR="007B7932" w:rsidRDefault="007710DC">
            <w:r>
              <w:t>Turn in button in GClassroom</w:t>
            </w:r>
          </w:p>
        </w:tc>
        <w:tc>
          <w:tcPr>
            <w:tcW w:w="2709" w:type="dxa"/>
          </w:tcPr>
          <w:p w14:paraId="3FA480F1" w14:textId="77777777" w:rsidR="007B7932" w:rsidRDefault="007710DC">
            <w:r>
              <w:t xml:space="preserve">Turn in button in GClassroom </w:t>
            </w:r>
          </w:p>
        </w:tc>
        <w:tc>
          <w:tcPr>
            <w:tcW w:w="2709" w:type="dxa"/>
          </w:tcPr>
          <w:p w14:paraId="24F37AD7" w14:textId="77777777" w:rsidR="007B7932" w:rsidRDefault="007710DC">
            <w:r>
              <w:t xml:space="preserve">Turn in button in GClassroom </w:t>
            </w:r>
          </w:p>
        </w:tc>
        <w:tc>
          <w:tcPr>
            <w:tcW w:w="2709" w:type="dxa"/>
          </w:tcPr>
          <w:p w14:paraId="2BBC430D" w14:textId="77777777" w:rsidR="007B7932" w:rsidRDefault="007710DC">
            <w:r>
              <w:t>Participate on Google Meet</w:t>
            </w:r>
          </w:p>
          <w:p w14:paraId="7065255B" w14:textId="77777777" w:rsidR="007B7932" w:rsidRDefault="007B7932"/>
          <w:p w14:paraId="735719E1" w14:textId="77777777" w:rsidR="007B7932" w:rsidRDefault="007710DC">
            <w:r>
              <w:t>Turn in button in GClassroom</w:t>
            </w:r>
          </w:p>
          <w:p w14:paraId="6F88B676" w14:textId="77777777" w:rsidR="007B7932" w:rsidRDefault="007B7932"/>
          <w:p w14:paraId="6ACCB218" w14:textId="77777777" w:rsidR="007B7932" w:rsidRDefault="007B7932"/>
        </w:tc>
      </w:tr>
      <w:tr w:rsidR="007B7932" w14:paraId="37AF16F3" w14:textId="77777777">
        <w:tc>
          <w:tcPr>
            <w:tcW w:w="1035" w:type="dxa"/>
            <w:shd w:val="clear" w:color="auto" w:fill="000000"/>
          </w:tcPr>
          <w:p w14:paraId="2B73D151" w14:textId="77777777" w:rsidR="007B7932" w:rsidRDefault="007B7932"/>
        </w:tc>
        <w:tc>
          <w:tcPr>
            <w:tcW w:w="2709" w:type="dxa"/>
            <w:shd w:val="clear" w:color="auto" w:fill="000000"/>
          </w:tcPr>
          <w:p w14:paraId="1531CDB8" w14:textId="77777777" w:rsidR="007B7932" w:rsidRDefault="007B7932"/>
        </w:tc>
        <w:tc>
          <w:tcPr>
            <w:tcW w:w="2709" w:type="dxa"/>
            <w:shd w:val="clear" w:color="auto" w:fill="000000"/>
          </w:tcPr>
          <w:p w14:paraId="32ADD5A6" w14:textId="77777777" w:rsidR="007B7932" w:rsidRDefault="007B7932"/>
          <w:p w14:paraId="51EA17EC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1CA491AD" w14:textId="77777777" w:rsidR="007B7932" w:rsidRDefault="007B7932"/>
          <w:p w14:paraId="707564A0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62A2329A" w14:textId="77777777" w:rsidR="007B7932" w:rsidRDefault="007B7932"/>
          <w:p w14:paraId="037C2E1E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4E01E527" w14:textId="77777777" w:rsidR="007B7932" w:rsidRDefault="007B7932"/>
          <w:p w14:paraId="39C0E21C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7B7932" w14:paraId="23D958E8" w14:textId="77777777">
        <w:trPr>
          <w:trHeight w:val="765"/>
        </w:trPr>
        <w:tc>
          <w:tcPr>
            <w:tcW w:w="1035" w:type="dxa"/>
          </w:tcPr>
          <w:p w14:paraId="53104CC1" w14:textId="77777777" w:rsidR="007B7932" w:rsidRDefault="007B7932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335D7835" w14:textId="77777777" w:rsidR="007B7932" w:rsidRDefault="007710D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7B7932" w14:paraId="15F4C7E3" w14:textId="77777777">
        <w:tc>
          <w:tcPr>
            <w:tcW w:w="1035" w:type="dxa"/>
          </w:tcPr>
          <w:p w14:paraId="643472FA" w14:textId="77777777" w:rsidR="007B7932" w:rsidRDefault="007710DC">
            <w:r>
              <w:t>To-Do</w:t>
            </w:r>
          </w:p>
          <w:p w14:paraId="4B2BD196" w14:textId="77777777" w:rsidR="007B7932" w:rsidRDefault="007710DC">
            <w:r>
              <w:t>Items and how to submit</w:t>
            </w:r>
          </w:p>
        </w:tc>
        <w:tc>
          <w:tcPr>
            <w:tcW w:w="2709" w:type="dxa"/>
          </w:tcPr>
          <w:p w14:paraId="6B144F7E" w14:textId="77777777" w:rsidR="007B7932" w:rsidRDefault="007710DC">
            <w:r>
              <w:t xml:space="preserve">Read the </w:t>
            </w:r>
            <w:proofErr w:type="gramStart"/>
            <w:r>
              <w:t>articles  “</w:t>
            </w:r>
            <w:proofErr w:type="gramEnd"/>
            <w:r>
              <w:t>Background to War” and “Military Alliances.” found on our weebly social studies page.</w:t>
            </w:r>
          </w:p>
          <w:p w14:paraId="053A731D" w14:textId="77777777" w:rsidR="007B7932" w:rsidRDefault="007B7932"/>
          <w:p w14:paraId="2E5EC706" w14:textId="77777777" w:rsidR="007B7932" w:rsidRDefault="007710DC">
            <w:r>
              <w:t>By Thursday, EMAIL the 9 answers to “Military Alliances” to me.</w:t>
            </w:r>
          </w:p>
          <w:p w14:paraId="05060075" w14:textId="77777777" w:rsidR="007B7932" w:rsidRDefault="007B7932"/>
          <w:p w14:paraId="524C42B9" w14:textId="77777777" w:rsidR="007B7932" w:rsidRDefault="007710D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is an assessment.  </w:t>
            </w:r>
          </w:p>
        </w:tc>
        <w:tc>
          <w:tcPr>
            <w:tcW w:w="2709" w:type="dxa"/>
          </w:tcPr>
          <w:p w14:paraId="52A89237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27FE2E1C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5D3BB1C0" w14:textId="77777777" w:rsidR="007B7932" w:rsidRDefault="0077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Try and get 7 friends together on a chat or meet.  Read through </w:t>
            </w:r>
            <w:proofErr w:type="gramStart"/>
            <w:r>
              <w:t>the  Readers</w:t>
            </w:r>
            <w:proofErr w:type="gramEnd"/>
            <w:r>
              <w:t xml:space="preserve"> Theater of “Trouble in the Cafeteria.”   </w:t>
            </w:r>
          </w:p>
          <w:p w14:paraId="561EFAD3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7D8955F4" w14:textId="77777777" w:rsidR="007B7932" w:rsidRDefault="0077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Discuss how it relates to what you’ve read about WW1 so far.</w:t>
            </w:r>
          </w:p>
          <w:p w14:paraId="18B361A9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34B65927" w14:textId="77777777" w:rsidR="007B7932" w:rsidRDefault="0077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This is NOT an assessment.</w:t>
            </w:r>
          </w:p>
        </w:tc>
        <w:tc>
          <w:tcPr>
            <w:tcW w:w="2709" w:type="dxa"/>
          </w:tcPr>
          <w:p w14:paraId="5286EEF4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1D89F2EA" w14:textId="77777777" w:rsidR="007B7932" w:rsidRDefault="007B7932"/>
        </w:tc>
        <w:tc>
          <w:tcPr>
            <w:tcW w:w="2709" w:type="dxa"/>
          </w:tcPr>
          <w:p w14:paraId="5038C08A" w14:textId="77777777" w:rsidR="007B7932" w:rsidRDefault="007B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2C3F5D8D" w14:textId="77777777" w:rsidR="007B7932" w:rsidRDefault="007B7932"/>
        </w:tc>
      </w:tr>
    </w:tbl>
    <w:p w14:paraId="6AA504E3" w14:textId="77777777" w:rsidR="007B7932" w:rsidRDefault="007B7932"/>
    <w:sectPr w:rsidR="007B7932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30A"/>
    <w:multiLevelType w:val="multilevel"/>
    <w:tmpl w:val="81D68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26AD6"/>
    <w:multiLevelType w:val="multilevel"/>
    <w:tmpl w:val="A672D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745BA"/>
    <w:multiLevelType w:val="multilevel"/>
    <w:tmpl w:val="41EC7F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65137"/>
    <w:multiLevelType w:val="multilevel"/>
    <w:tmpl w:val="E382A94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32"/>
    <w:rsid w:val="007710DC"/>
    <w:rsid w:val="007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58A40"/>
  <w15:docId w15:val="{3DC8ABD4-37EB-2043-AD05-833D7A5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2020-04-12T19:12:00Z</dcterms:created>
  <dcterms:modified xsi:type="dcterms:W3CDTF">2020-04-12T19:12:00Z</dcterms:modified>
</cp:coreProperties>
</file>